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90DC" w14:textId="77777777" w:rsidR="002A3A42" w:rsidRPr="004212B6" w:rsidRDefault="00B71C28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val="en-GB"/>
        </w:rPr>
        <w:t>Determinants of Finno-Ugric navigation to northern European coastal regions 3500 years ago. Genes. Stars. Myths.</w:t>
      </w:r>
    </w:p>
    <w:p w14:paraId="10DF013F" w14:textId="77777777" w:rsidR="002A3A42" w:rsidRPr="004212B6" w:rsidRDefault="002A3A42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val="en-GB"/>
        </w:rPr>
      </w:pPr>
    </w:p>
    <w:p w14:paraId="563F96A2" w14:textId="77777777" w:rsidR="002A3A42" w:rsidRPr="004212B6" w:rsidRDefault="00B71C28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  <w:t>Aru, Jaak</w:t>
      </w:r>
    </w:p>
    <w:p w14:paraId="60829DC1" w14:textId="77777777" w:rsidR="002A3A42" w:rsidRPr="004212B6" w:rsidRDefault="00B71C28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  <w:t>Koiva, Mare</w:t>
      </w:r>
    </w:p>
    <w:p w14:paraId="0DEACFA1" w14:textId="77777777" w:rsidR="002A3A42" w:rsidRPr="004212B6" w:rsidRDefault="00B71C28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  <w:t>Kuperjanov, Andres</w:t>
      </w:r>
    </w:p>
    <w:p w14:paraId="042C1727" w14:textId="77777777" w:rsidR="002A3A42" w:rsidRPr="004212B6" w:rsidRDefault="002A3A42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</w:pPr>
    </w:p>
    <w:p w14:paraId="2A80E778" w14:textId="77777777" w:rsidR="002A3A42" w:rsidRPr="004212B6" w:rsidRDefault="00B71C28">
      <w:pPr>
        <w:pStyle w:val="Standard"/>
        <w:spacing w:after="0" w:line="240" w:lineRule="auto"/>
        <w:textAlignment w:val="baseline"/>
        <w:rPr>
          <w:lang w:val="en-GB"/>
        </w:rPr>
      </w:pPr>
      <w:r w:rsidRPr="004212B6">
        <w:rPr>
          <w:rStyle w:val="Absatz-Standardschriftart"/>
          <w:rFonts w:ascii="Times New Roman" w:eastAsia="Times New Roman" w:hAnsi="Times New Roman"/>
          <w:i/>
          <w:iCs/>
          <w:color w:val="000000"/>
          <w:kern w:val="0"/>
          <w:sz w:val="22"/>
          <w:szCs w:val="22"/>
          <w:lang w:val="en-GB"/>
        </w:rPr>
        <w:t>Estonia, Tartu</w:t>
      </w:r>
    </w:p>
    <w:p w14:paraId="2E3CB831" w14:textId="77777777" w:rsidR="002A3A42" w:rsidRPr="004212B6" w:rsidRDefault="002A3A42">
      <w:pPr>
        <w:pStyle w:val="Standard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</w:p>
    <w:p w14:paraId="6A730238" w14:textId="0FB1448F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lang w:val="en-GB"/>
        </w:rPr>
      </w:pP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The aim of this presentation to discuss hypothetical factors that could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have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contribute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d to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 migration 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of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the 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Finno-Ugric population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Pr="002E4152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to the Nordic regions of Europe and Asia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during</w:t>
      </w:r>
      <w:r w:rsidR="0055525C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late </w:t>
      </w:r>
      <w:r w:rsidRPr="004917A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Neolithic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or </w:t>
      </w:r>
      <w:r w:rsidR="0055525C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the early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B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ronze </w:t>
      </w:r>
      <w:r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Age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, i.e. some </w:t>
      </w:r>
      <w:r w:rsidRPr="004212B6">
        <w:rPr>
          <w:rStyle w:val="Absatz-Standardschriftart"/>
          <w:rFonts w:ascii="Times New Roman" w:eastAsia="Times New Roman" w:hAnsi="Times New Roman"/>
          <w:i/>
          <w:iCs/>
          <w:kern w:val="0"/>
          <w:sz w:val="22"/>
          <w:szCs w:val="22"/>
          <w:lang w:val="en-GB"/>
        </w:rPr>
        <w:t>3500</w:t>
      </w:r>
      <w:r w:rsidRPr="00B71C28">
        <w:rPr>
          <w:rStyle w:val="Absatz-Standardschriftart"/>
          <w:rFonts w:ascii="Times New Roman" w:eastAsia="Times New Roman" w:hAnsi="Times New Roman" w:hint="cs"/>
          <w:i/>
          <w:iCs/>
          <w:kern w:val="0"/>
          <w:sz w:val="22"/>
          <w:szCs w:val="22"/>
          <w:lang w:val="en-GB"/>
        </w:rPr>
        <w:t>–</w:t>
      </w:r>
      <w:r w:rsidRPr="004212B6">
        <w:rPr>
          <w:rStyle w:val="Absatz-Standardschriftart"/>
          <w:rFonts w:ascii="Times New Roman" w:eastAsia="Times New Roman" w:hAnsi="Times New Roman"/>
          <w:i/>
          <w:iCs/>
          <w:kern w:val="0"/>
          <w:sz w:val="22"/>
          <w:szCs w:val="22"/>
          <w:lang w:val="en-GB"/>
        </w:rPr>
        <w:t>2500</w:t>
      </w:r>
      <w:r w:rsidRPr="004212B6">
        <w:rPr>
          <w:rStyle w:val="Absatz-Standardschriftart"/>
          <w:rFonts w:ascii="Times New Roman" w:eastAsia="Times New Roman" w:hAnsi="Times New Roman"/>
          <w:kern w:val="0"/>
          <w:sz w:val="22"/>
          <w:szCs w:val="22"/>
          <w:lang w:val="en-GB"/>
        </w:rPr>
        <w:t xml:space="preserve"> </w:t>
      </w:r>
      <w:r w:rsidRPr="004212B6">
        <w:rPr>
          <w:rStyle w:val="Absatz-Standardschriftart"/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years ago. </w:t>
      </w:r>
    </w:p>
    <w:p w14:paraId="5929170D" w14:textId="77777777" w:rsidR="002A3A42" w:rsidRPr="004212B6" w:rsidRDefault="002A3A42" w:rsidP="004212B6">
      <w:pPr>
        <w:pStyle w:val="Standard"/>
        <w:spacing w:after="0" w:line="240" w:lineRule="auto"/>
        <w:jc w:val="both"/>
        <w:textAlignment w:val="baseline"/>
        <w:rPr>
          <w:rFonts w:ascii="Times New Roman" w:hAnsi="Times New Roman"/>
          <w:sz w:val="22"/>
          <w:szCs w:val="22"/>
          <w:lang w:val="en-GB"/>
        </w:rPr>
      </w:pPr>
    </w:p>
    <w:p w14:paraId="18663F77" w14:textId="533569F3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Primary settlement of the region was possible after </w:t>
      </w:r>
      <w:r w:rsidR="0057249E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the 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ice had melted in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Finnish </w:t>
      </w:r>
      <w:r w:rsid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G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ulf region about 12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 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000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 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years ago. Not much is known about those first inhabitants of the region. Migration from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the 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Ural region started much later and the newcomers brought with them the Finno-Ugric language group.</w:t>
      </w:r>
    </w:p>
    <w:p w14:paraId="259D87BB" w14:textId="77777777" w:rsidR="002A3A42" w:rsidRPr="004212B6" w:rsidRDefault="002A3A42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</w:p>
    <w:p w14:paraId="276CE00F" w14:textId="541A11EB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In this short overview</w:t>
      </w:r>
      <w:r w:rsidR="007214CA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we review and </w:t>
      </w:r>
      <w:r w:rsidR="007214CA" w:rsidRPr="004917A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analyse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three different but important aspects </w:t>
      </w:r>
      <w:r w:rsidR="007214CA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of</w:t>
      </w:r>
      <w:r w:rsidR="007214CA"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7214CA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this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migration. We tackle separate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‘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internal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’,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‘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mental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’</w:t>
      </w:r>
      <w:r w:rsidR="007214CA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and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‘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external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’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factors. To our understanding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</w:t>
      </w:r>
      <w:r w:rsidR="007214CA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‘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internal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’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factors are based on biological/genetic </w:t>
      </w:r>
      <w:r w:rsidR="004917A6" w:rsidRPr="004917A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determinants;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external factors depict celestial components as possible milestones during the journey and their manifestation in petroglyphs. </w:t>
      </w:r>
    </w:p>
    <w:p w14:paraId="16DC7219" w14:textId="77777777" w:rsidR="002A3A42" w:rsidRPr="004212B6" w:rsidRDefault="002A3A42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</w:p>
    <w:p w14:paraId="2211E9F9" w14:textId="6B8E14C9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Under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‘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internal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’</w:t>
      </w:r>
      <w:r w:rsid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or 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genetic factors</w:t>
      </w:r>
      <w:r w:rsidR="004917A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we observe the regional distribution of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Y haplotype in Europe. </w:t>
      </w:r>
      <w:r w:rsidR="0055525C" w:rsidRP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We di</w:t>
      </w:r>
      <w:r w:rsid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scuss the possible role of the ‘cold’ gene and the ‘light skin’</w:t>
      </w:r>
      <w:r w:rsidR="0055525C" w:rsidRP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gene in our </w:t>
      </w:r>
      <w:r w:rsid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forefathers’ choice to migrate</w:t>
      </w:r>
      <w:r w:rsidR="0055525C" w:rsidRP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to </w:t>
      </w:r>
      <w:r w:rsid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a </w:t>
      </w:r>
      <w:r w:rsidR="0055525C" w:rsidRP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cold and dark </w:t>
      </w:r>
      <w:r w:rsidR="0055525C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environment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.</w:t>
      </w:r>
    </w:p>
    <w:p w14:paraId="2449B479" w14:textId="77777777" w:rsidR="002A3A42" w:rsidRPr="004212B6" w:rsidRDefault="002A3A42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</w:p>
    <w:p w14:paraId="3A9D5695" w14:textId="15263925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lang w:val="en-GB"/>
        </w:rPr>
      </w:pP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Under </w:t>
      </w:r>
      <w:r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‘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external</w:t>
      </w:r>
      <w:r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’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factors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,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we describe geoglyphs with celestial motifs. We do not exactly know 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if</w:t>
      </w:r>
      <w:r w:rsidR="0055525C"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stars guided Finno-Ugric people during their long journey to Nordic regions. Still, they had thorough knowledge of the structures in the sky and 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en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graved those in rocks. We discuss 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the 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so-called 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‘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Cosmic Hunt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’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pattern in</w:t>
      </w:r>
      <w:r w:rsidR="00E22568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the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rock carvings spread in 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the 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Northern Finno-Ugric area</w:t>
      </w:r>
      <w:r w:rsidR="0055525C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,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on the shores of Äänisjärv (Lake Onega) and close to Belomorsk. The White Sea Petroglyphs archaeological complex </w:t>
      </w:r>
      <w:r w:rsidR="00E22568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of 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Old Zalavruga, discovered in 1926 by Aleksandr Linevsky</w:t>
      </w:r>
      <w:r w:rsidR="00C307CF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,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includes </w:t>
      </w:r>
      <w:r w:rsidR="00C307CF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a 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>hunting scene, very similar to</w:t>
      </w:r>
      <w:r w:rsidR="00C307CF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a</w:t>
      </w:r>
      <w:r w:rsidRPr="004212B6">
        <w:rPr>
          <w:rStyle w:val="Absatz-Standardschriftart"/>
          <w:rFonts w:ascii="Times New Roman" w:hAnsi="Times New Roman"/>
          <w:color w:val="242424"/>
          <w:sz w:val="22"/>
          <w:szCs w:val="22"/>
          <w:shd w:val="clear" w:color="auto" w:fill="FFFFFF"/>
          <w:lang w:val="en-GB"/>
        </w:rPr>
        <w:t xml:space="preserve"> star map.</w:t>
      </w:r>
    </w:p>
    <w:p w14:paraId="410F56B0" w14:textId="77777777" w:rsidR="002A3A42" w:rsidRPr="004212B6" w:rsidRDefault="002A3A42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</w:p>
    <w:p w14:paraId="047D7F80" w14:textId="58A3F485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Myths</w:t>
      </w:r>
      <w:r w:rsidR="00C307CF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or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‘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mental factors</w:t>
      </w:r>
      <w:r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’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are known in all societies. The motifs of myths 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are 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classified into fundamental types: cosmogonic myths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 which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expose the origin of the universe</w:t>
      </w:r>
      <w:r w:rsidR="00C307CF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as well as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 origin of natural and cultural phenomena, domestication, environment, etc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.; and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a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nthropogonic myths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 which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explain the appearance of mankind and how humanity was divided into different peoples. </w:t>
      </w:r>
    </w:p>
    <w:p w14:paraId="5D90F1A5" w14:textId="0347D38B" w:rsidR="002A3A42" w:rsidRPr="004212B6" w:rsidRDefault="00B71C28" w:rsidP="004212B6">
      <w:pPr>
        <w:pStyle w:val="Standard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Using partly</w:t>
      </w:r>
      <w:r w:rsidR="00E22568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 tools of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folklorists and folk tale specialists</w:t>
      </w:r>
      <w:r w:rsidR="00C307CF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 such as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Thompson’s global motif index (1955–1958) and ethnic legend indexes (Klintberg 2012),</w:t>
      </w:r>
      <w:r w:rsidR="00821C8E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and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partly information of the classification of incantations/spells</w:t>
      </w:r>
      <w:r w:rsidR="00821C8E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,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we try to trace</w:t>
      </w:r>
      <w:r w:rsidR="00821C8E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myths about</w:t>
      </w:r>
      <w:r w:rsidR="00821C8E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the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North, Northern sky, Nortern Lights, cold/winter, the end of the world, and other myths. Our aim is to cover less</w:t>
      </w:r>
      <w:r w:rsidR="00C307CF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-</w:t>
      </w:r>
      <w:r w:rsidR="00C307CF" w:rsidRPr="00C307CF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>analysed</w:t>
      </w:r>
      <w:r w:rsidRPr="004212B6">
        <w:rPr>
          <w:rFonts w:ascii="Times New Roman" w:eastAsia="Times New Roman" w:hAnsi="Times New Roman"/>
          <w:color w:val="000000"/>
          <w:kern w:val="0"/>
          <w:sz w:val="22"/>
          <w:szCs w:val="22"/>
          <w:lang w:val="en-GB"/>
        </w:rPr>
        <w:t xml:space="preserve"> sources about Finno-Ugric peoples.</w:t>
      </w:r>
    </w:p>
    <w:p w14:paraId="1C931DDC" w14:textId="77777777" w:rsidR="002A3A42" w:rsidRPr="004212B6" w:rsidRDefault="002A3A42" w:rsidP="004212B6">
      <w:pPr>
        <w:pStyle w:val="Standard"/>
        <w:spacing w:after="120" w:line="240" w:lineRule="auto"/>
        <w:jc w:val="both"/>
        <w:textAlignment w:val="baseline"/>
        <w:rPr>
          <w:rFonts w:ascii="Times New Roman" w:hAnsi="Times New Roman"/>
          <w:sz w:val="22"/>
          <w:szCs w:val="22"/>
          <w:lang w:val="en-GB"/>
        </w:rPr>
      </w:pPr>
    </w:p>
    <w:p w14:paraId="52ED4F5F" w14:textId="77777777" w:rsidR="002A3A42" w:rsidRPr="004212B6" w:rsidRDefault="00B71C28" w:rsidP="004212B6">
      <w:pPr>
        <w:pStyle w:val="Standard"/>
        <w:spacing w:after="120" w:line="240" w:lineRule="auto"/>
        <w:jc w:val="both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Conclusions</w:t>
      </w:r>
    </w:p>
    <w:p w14:paraId="750AD02B" w14:textId="5B1AE870" w:rsidR="002A3A42" w:rsidRPr="004212B6" w:rsidRDefault="00B71C28" w:rsidP="004212B6">
      <w:pPr>
        <w:pStyle w:val="Standard"/>
        <w:spacing w:after="120" w:line="240" w:lineRule="auto"/>
        <w:jc w:val="both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917A6">
        <w:rPr>
          <w:rFonts w:ascii="Times New Roman" w:hAnsi="Times New Roman"/>
          <w:sz w:val="22"/>
          <w:szCs w:val="22"/>
          <w:lang w:val="en-GB"/>
        </w:rPr>
        <w:t>1. There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sz w:val="22"/>
          <w:szCs w:val="22"/>
          <w:lang w:val="en-GB"/>
        </w:rPr>
        <w:t xml:space="preserve">is </w:t>
      </w:r>
      <w:r w:rsidRPr="004212B6">
        <w:rPr>
          <w:rFonts w:ascii="Times New Roman" w:hAnsi="Times New Roman"/>
          <w:sz w:val="22"/>
          <w:szCs w:val="22"/>
          <w:lang w:val="en-GB"/>
        </w:rPr>
        <w:t>much investigative work to be done to describe</w:t>
      </w:r>
      <w:r>
        <w:rPr>
          <w:rFonts w:ascii="Times New Roman" w:hAnsi="Times New Roman"/>
          <w:sz w:val="22"/>
          <w:szCs w:val="22"/>
          <w:lang w:val="en-GB"/>
        </w:rPr>
        <w:t xml:space="preserve"> the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different aspects of</w:t>
      </w:r>
      <w:r w:rsidR="00821C8E">
        <w:rPr>
          <w:rFonts w:ascii="Times New Roman" w:hAnsi="Times New Roman"/>
          <w:sz w:val="22"/>
          <w:szCs w:val="22"/>
          <w:lang w:val="en-GB"/>
        </w:rPr>
        <w:t xml:space="preserve"> the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Finno-Ugric genome and special mutations that make i</w:t>
      </w:r>
      <w:r w:rsidR="00821C8E">
        <w:rPr>
          <w:rFonts w:ascii="Times New Roman" w:hAnsi="Times New Roman"/>
          <w:sz w:val="22"/>
          <w:szCs w:val="22"/>
          <w:lang w:val="en-GB"/>
        </w:rPr>
        <w:t>t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easier to live in</w:t>
      </w:r>
      <w:r>
        <w:rPr>
          <w:rFonts w:ascii="Times New Roman" w:hAnsi="Times New Roman"/>
          <w:sz w:val="22"/>
          <w:szCs w:val="22"/>
          <w:lang w:val="en-GB"/>
        </w:rPr>
        <w:t xml:space="preserve"> the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4917A6">
        <w:rPr>
          <w:rFonts w:ascii="Times New Roman" w:hAnsi="Times New Roman"/>
          <w:sz w:val="22"/>
          <w:szCs w:val="22"/>
          <w:lang w:val="en-GB"/>
        </w:rPr>
        <w:t>Nordic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region</w:t>
      </w:r>
      <w:r>
        <w:rPr>
          <w:rFonts w:ascii="Times New Roman" w:hAnsi="Times New Roman"/>
          <w:sz w:val="22"/>
          <w:szCs w:val="22"/>
          <w:lang w:val="en-GB"/>
        </w:rPr>
        <w:t>.</w:t>
      </w:r>
    </w:p>
    <w:p w14:paraId="3AE0E799" w14:textId="3253F817" w:rsidR="002A3A42" w:rsidRPr="004212B6" w:rsidRDefault="00B71C28" w:rsidP="004212B6">
      <w:pPr>
        <w:pStyle w:val="Standard"/>
        <w:spacing w:after="120" w:line="240" w:lineRule="auto"/>
        <w:jc w:val="both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2. To our understanding</w:t>
      </w:r>
      <w:r w:rsidR="00821C8E">
        <w:rPr>
          <w:rFonts w:ascii="Times New Roman" w:hAnsi="Times New Roman"/>
          <w:sz w:val="22"/>
          <w:szCs w:val="22"/>
          <w:lang w:val="en-GB"/>
        </w:rPr>
        <w:t>,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not only spatial aspects, (i.e. invasion of southern territories in the Eastern European region) but also genetic and celestial aspects could have influenced the migration of Finno-Ugric nations to northern areas of Eurasia</w:t>
      </w:r>
      <w:r>
        <w:rPr>
          <w:rFonts w:ascii="Times New Roman" w:hAnsi="Times New Roman"/>
          <w:sz w:val="22"/>
          <w:szCs w:val="22"/>
          <w:lang w:val="en-GB"/>
        </w:rPr>
        <w:t>.</w:t>
      </w:r>
    </w:p>
    <w:p w14:paraId="6121BAA9" w14:textId="54C756B6" w:rsidR="002A3A42" w:rsidRPr="004212B6" w:rsidRDefault="00B71C28" w:rsidP="004212B6">
      <w:pPr>
        <w:pStyle w:val="Standard"/>
        <w:spacing w:after="120" w:line="240" w:lineRule="auto"/>
        <w:jc w:val="both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3. Folklore, myths</w:t>
      </w:r>
      <w:r>
        <w:rPr>
          <w:rFonts w:ascii="Times New Roman" w:hAnsi="Times New Roman"/>
          <w:sz w:val="22"/>
          <w:szCs w:val="22"/>
          <w:lang w:val="en-GB"/>
        </w:rPr>
        <w:t>,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and mental heritage not only depict the everyday problems </w:t>
      </w:r>
      <w:r w:rsidR="009A2B06">
        <w:rPr>
          <w:rFonts w:ascii="Times New Roman" w:hAnsi="Times New Roman"/>
          <w:sz w:val="22"/>
          <w:szCs w:val="22"/>
          <w:lang w:val="en-GB"/>
        </w:rPr>
        <w:t>of settling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in</w:t>
      </w:r>
      <w:r w:rsidR="009A2B06">
        <w:rPr>
          <w:rFonts w:ascii="Times New Roman" w:hAnsi="Times New Roman"/>
          <w:sz w:val="22"/>
          <w:szCs w:val="22"/>
          <w:lang w:val="en-GB"/>
        </w:rPr>
        <w:t xml:space="preserve"> a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cold and dark </w:t>
      </w:r>
      <w:r w:rsidR="009A2B06">
        <w:rPr>
          <w:rFonts w:ascii="Times New Roman" w:hAnsi="Times New Roman"/>
          <w:sz w:val="22"/>
          <w:szCs w:val="22"/>
          <w:lang w:val="en-GB"/>
        </w:rPr>
        <w:t>environment</w:t>
      </w:r>
      <w:r w:rsidR="009A2B06" w:rsidRPr="004212B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but also outline the aim and meaning of </w:t>
      </w:r>
      <w:r w:rsidR="00821C8E">
        <w:rPr>
          <w:rFonts w:ascii="Times New Roman" w:hAnsi="Times New Roman"/>
          <w:sz w:val="22"/>
          <w:szCs w:val="22"/>
          <w:lang w:val="en-GB"/>
        </w:rPr>
        <w:t>the</w:t>
      </w:r>
      <w:r w:rsidRPr="004212B6">
        <w:rPr>
          <w:rFonts w:ascii="Times New Roman" w:hAnsi="Times New Roman"/>
          <w:sz w:val="22"/>
          <w:szCs w:val="22"/>
          <w:lang w:val="en-GB"/>
        </w:rPr>
        <w:t xml:space="preserve"> journey </w:t>
      </w:r>
      <w:r w:rsidR="00821C8E">
        <w:rPr>
          <w:rFonts w:ascii="Times New Roman" w:hAnsi="Times New Roman"/>
          <w:sz w:val="22"/>
          <w:szCs w:val="22"/>
          <w:lang w:val="en-GB"/>
        </w:rPr>
        <w:t xml:space="preserve">to </w:t>
      </w:r>
      <w:r w:rsidRPr="004212B6">
        <w:rPr>
          <w:rFonts w:ascii="Times New Roman" w:hAnsi="Times New Roman"/>
          <w:sz w:val="22"/>
          <w:szCs w:val="22"/>
          <w:lang w:val="en-GB"/>
        </w:rPr>
        <w:t>Nordic areas of Eurasia and Scandinavia.</w:t>
      </w:r>
    </w:p>
    <w:p w14:paraId="6602DCAE" w14:textId="77777777" w:rsidR="002A3A42" w:rsidRPr="004212B6" w:rsidRDefault="002A3A42">
      <w:pPr>
        <w:pStyle w:val="Standard"/>
        <w:spacing w:after="120" w:line="240" w:lineRule="auto"/>
        <w:textAlignment w:val="baseline"/>
        <w:rPr>
          <w:rFonts w:ascii="Times New Roman" w:hAnsi="Times New Roman"/>
          <w:sz w:val="22"/>
          <w:szCs w:val="22"/>
          <w:lang w:val="en-GB"/>
        </w:rPr>
      </w:pPr>
    </w:p>
    <w:p w14:paraId="16D8DFA6" w14:textId="77777777" w:rsidR="002A3A42" w:rsidRPr="004212B6" w:rsidRDefault="00B71C28">
      <w:pPr>
        <w:pStyle w:val="Standard"/>
        <w:spacing w:after="120" w:line="240" w:lineRule="auto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References:</w:t>
      </w:r>
    </w:p>
    <w:p w14:paraId="19088E04" w14:textId="77777777" w:rsidR="002A3A42" w:rsidRPr="004212B6" w:rsidRDefault="00B71C28">
      <w:pPr>
        <w:pStyle w:val="Standard"/>
        <w:spacing w:after="120" w:line="240" w:lineRule="auto"/>
        <w:textAlignment w:val="baseline"/>
        <w:rPr>
          <w:rFonts w:ascii="Times New Roman" w:eastAsia="Times New Roman" w:hAnsi="Times New Roman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sz w:val="22"/>
          <w:szCs w:val="22"/>
          <w:lang w:val="en-GB"/>
        </w:rPr>
        <w:t>Berezkin, Yuri 2005. Cosmic Hunt: Variants of Siberian-North American</w:t>
      </w:r>
      <w:r w:rsidRPr="004212B6">
        <w:rPr>
          <w:rFonts w:ascii="Times New Roman" w:eastAsia="Times New Roman" w:hAnsi="Times New Roman"/>
          <w:sz w:val="22"/>
          <w:szCs w:val="22"/>
          <w:lang w:val="en-GB"/>
        </w:rPr>
        <w:br/>
        <w:t xml:space="preserve">Myth. Folklore. Electronic Journal of Folklore vol. 31. </w:t>
      </w:r>
    </w:p>
    <w:p w14:paraId="783CF775" w14:textId="77777777" w:rsidR="002A3A42" w:rsidRPr="004212B6" w:rsidRDefault="00B71C28">
      <w:pPr>
        <w:pStyle w:val="Standard"/>
        <w:shd w:val="clear" w:color="auto" w:fill="FFFFFF"/>
        <w:spacing w:after="240" w:line="240" w:lineRule="auto"/>
        <w:outlineLvl w:val="0"/>
        <w:rPr>
          <w:lang w:val="en-GB"/>
        </w:rPr>
      </w:pPr>
      <w:r w:rsidRPr="004212B6">
        <w:rPr>
          <w:rStyle w:val="Absatz-Standardschriftart"/>
          <w:rFonts w:ascii="Times New Roman" w:hAnsi="Times New Roman"/>
          <w:sz w:val="22"/>
          <w:szCs w:val="22"/>
          <w:lang w:val="en-GB"/>
        </w:rPr>
        <w:t xml:space="preserve">Ann Gibbons. How Europeans evolved white skin. Ancient DNA from skeletons shows dramatic natural selection on skin color and height in many Europeans. Science </w:t>
      </w:r>
      <w:r w:rsidRPr="004212B6">
        <w:rPr>
          <w:rStyle w:val="news-articleherodate"/>
          <w:rFonts w:ascii="Times New Roman" w:hAnsi="Times New Roman"/>
          <w:sz w:val="22"/>
          <w:szCs w:val="22"/>
          <w:lang w:val="en-GB"/>
        </w:rPr>
        <w:t>2 Apr 2015.</w:t>
      </w:r>
    </w:p>
    <w:p w14:paraId="55EE32B2" w14:textId="77777777" w:rsidR="002A3A42" w:rsidRPr="004212B6" w:rsidRDefault="00B71C28">
      <w:pPr>
        <w:pStyle w:val="Standard"/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sz w:val="22"/>
          <w:szCs w:val="22"/>
          <w:lang w:val="en-GB"/>
        </w:rPr>
        <w:t>Klintberg, Bent af 2010. The Types Of The Swedish Folk Legend. FF Communications 300. Helsinki: Finnish Literature Society. Lévi-Strauss, Claude, 1955. The Structural Study of Myth. In:  Journal of American Folklore, 270: 428-444.</w:t>
      </w:r>
    </w:p>
    <w:p w14:paraId="2E1BC5C9" w14:textId="77777777" w:rsidR="002A3A42" w:rsidRPr="004212B6" w:rsidRDefault="00B71C28">
      <w:pPr>
        <w:pStyle w:val="Standard"/>
        <w:spacing w:after="120" w:line="240" w:lineRule="auto"/>
        <w:textAlignment w:val="baseline"/>
        <w:rPr>
          <w:rFonts w:ascii="Times New Roman" w:eastAsia="Times New Roman" w:hAnsi="Times New Roman"/>
          <w:sz w:val="22"/>
          <w:szCs w:val="22"/>
          <w:lang w:val="en-GB"/>
        </w:rPr>
      </w:pPr>
      <w:r w:rsidRPr="004212B6">
        <w:rPr>
          <w:rFonts w:ascii="Times New Roman" w:eastAsia="Times New Roman" w:hAnsi="Times New Roman"/>
          <w:sz w:val="22"/>
          <w:szCs w:val="22"/>
          <w:lang w:val="en-GB"/>
        </w:rPr>
        <w:t>Kõiva, Andres Kuperjanov. Folk Belief and Media Group of Estonian Literary</w:t>
      </w:r>
      <w:r w:rsidRPr="004212B6">
        <w:rPr>
          <w:rFonts w:ascii="Times New Roman" w:eastAsia="Times New Roman" w:hAnsi="Times New Roman"/>
          <w:sz w:val="22"/>
          <w:szCs w:val="22"/>
          <w:lang w:val="en-GB"/>
        </w:rPr>
        <w:br/>
        <w:t xml:space="preserve">Museum, Tartu. </w:t>
      </w:r>
    </w:p>
    <w:p w14:paraId="7A7F71CE" w14:textId="77777777" w:rsidR="002A3A42" w:rsidRPr="004212B6" w:rsidRDefault="002746E2">
      <w:pPr>
        <w:pStyle w:val="Standard"/>
        <w:shd w:val="clear" w:color="auto" w:fill="FFFFFF"/>
        <w:spacing w:after="240" w:line="240" w:lineRule="auto"/>
        <w:outlineLvl w:val="0"/>
        <w:rPr>
          <w:lang w:val="en-GB"/>
        </w:rPr>
      </w:pPr>
      <w:hyperlink r:id="rId6" w:anchor="auth-Thiseas_C_-Lamnidis-Aff1" w:history="1">
        <w:r w:rsidR="00B71C28" w:rsidRPr="004212B6">
          <w:rPr>
            <w:rStyle w:val="Absatz-Standardschriftart"/>
            <w:rFonts w:ascii="Times New Roman" w:eastAsia="Times New Roman" w:hAnsi="Times New Roman"/>
            <w:kern w:val="0"/>
            <w:sz w:val="22"/>
            <w:szCs w:val="22"/>
            <w:u w:val="single"/>
            <w:lang w:val="en-GB"/>
          </w:rPr>
          <w:t>Thiseas C. Lamnidis</w:t>
        </w:r>
      </w:hyperlink>
      <w:r w:rsidR="00B71C28" w:rsidRPr="004212B6">
        <w:rPr>
          <w:rStyle w:val="Absatz-Standardschriftart"/>
          <w:rFonts w:ascii="Times New Roman" w:eastAsia="Times New Roman" w:hAnsi="Times New Roman"/>
          <w:kern w:val="0"/>
          <w:sz w:val="22"/>
          <w:szCs w:val="22"/>
          <w:lang w:val="en-GB"/>
        </w:rPr>
        <w:t xml:space="preserve"> et al . </w:t>
      </w:r>
      <w:r w:rsidR="00B71C28" w:rsidRPr="004212B6">
        <w:rPr>
          <w:rStyle w:val="Absatz-Standardschriftart"/>
          <w:rFonts w:ascii="Times New Roman" w:eastAsia="Times New Roman" w:hAnsi="Times New Roman"/>
          <w:sz w:val="22"/>
          <w:szCs w:val="22"/>
          <w:lang w:val="en-GB"/>
        </w:rPr>
        <w:t xml:space="preserve">Ancient Fennoscandian genomes reveal origin and spread of Siberian ancestry in Europe. </w:t>
      </w:r>
      <w:hyperlink r:id="rId7" w:history="1">
        <w:r w:rsidR="00B71C28" w:rsidRPr="004212B6">
          <w:rPr>
            <w:rStyle w:val="Absatz-Standardschriftart"/>
            <w:rFonts w:ascii="Times New Roman" w:eastAsia="Times New Roman" w:hAnsi="Times New Roman"/>
            <w:kern w:val="0"/>
            <w:sz w:val="22"/>
            <w:szCs w:val="22"/>
            <w:u w:val="single"/>
            <w:lang w:val="en-GB"/>
          </w:rPr>
          <w:t>Nature Communications</w:t>
        </w:r>
      </w:hyperlink>
      <w:r w:rsidR="00B71C28" w:rsidRPr="004212B6">
        <w:rPr>
          <w:rStyle w:val="Absatz-Standardschriftart"/>
          <w:rFonts w:ascii="Times New Roman" w:eastAsia="Times New Roman" w:hAnsi="Times New Roman"/>
          <w:kern w:val="0"/>
          <w:sz w:val="22"/>
          <w:szCs w:val="22"/>
          <w:lang w:val="en-GB"/>
        </w:rPr>
        <w:t> volume 9, Article number: 5018 (2018). </w:t>
      </w:r>
    </w:p>
    <w:p w14:paraId="063DD81C" w14:textId="77777777" w:rsidR="002A3A42" w:rsidRPr="004212B6" w:rsidRDefault="00B71C28">
      <w:pPr>
        <w:pStyle w:val="Standard"/>
        <w:spacing w:after="120" w:line="240" w:lineRule="auto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Thompson, Tok 2019. Listening to the elder brothers: Animals, agents, and posthumanism in native versus non-native American myths and worldviews. In: Journal Folklore: Electronic Journal of Folklore: 77: 159-180.</w:t>
      </w:r>
    </w:p>
    <w:p w14:paraId="0D986FC9" w14:textId="77777777" w:rsidR="002A3A42" w:rsidRPr="004212B6" w:rsidRDefault="00B71C28">
      <w:pPr>
        <w:pStyle w:val="Standard"/>
        <w:spacing w:after="120" w:line="240" w:lineRule="auto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Thompson, Tok; Schrempp, Gregory 2020. The truth of myth: world mythology in theory and everyday life. Oxford University Press.</w:t>
      </w:r>
    </w:p>
    <w:p w14:paraId="2C051BAE" w14:textId="77777777" w:rsidR="002A3A42" w:rsidRPr="004212B6" w:rsidRDefault="00B71C28">
      <w:pPr>
        <w:pStyle w:val="Standard"/>
        <w:spacing w:after="120" w:line="240" w:lineRule="auto"/>
        <w:textAlignment w:val="baseline"/>
        <w:rPr>
          <w:rFonts w:ascii="Times New Roman" w:hAnsi="Times New Roman"/>
          <w:sz w:val="22"/>
          <w:szCs w:val="22"/>
          <w:lang w:val="en-GB"/>
        </w:rPr>
      </w:pPr>
      <w:r w:rsidRPr="004212B6">
        <w:rPr>
          <w:rFonts w:ascii="Times New Roman" w:hAnsi="Times New Roman"/>
          <w:sz w:val="22"/>
          <w:szCs w:val="22"/>
          <w:lang w:val="en-GB"/>
        </w:rPr>
        <w:t> </w:t>
      </w:r>
    </w:p>
    <w:p w14:paraId="5B03BBC0" w14:textId="77777777" w:rsidR="002A3A42" w:rsidRPr="004212B6" w:rsidRDefault="002A3A42">
      <w:pPr>
        <w:pStyle w:val="Standard"/>
        <w:spacing w:after="120" w:line="240" w:lineRule="auto"/>
        <w:textAlignment w:val="baseline"/>
        <w:rPr>
          <w:rFonts w:ascii="Times New Roman" w:hAnsi="Times New Roman"/>
          <w:sz w:val="22"/>
          <w:szCs w:val="22"/>
          <w:lang w:val="en-GB"/>
        </w:rPr>
      </w:pPr>
    </w:p>
    <w:p w14:paraId="394690EA" w14:textId="77777777" w:rsidR="002A3A42" w:rsidRPr="004212B6" w:rsidRDefault="002A3A42">
      <w:pPr>
        <w:pStyle w:val="Standard"/>
        <w:rPr>
          <w:lang w:val="en-GB"/>
        </w:rPr>
      </w:pPr>
    </w:p>
    <w:sectPr w:rsidR="002A3A42" w:rsidRPr="004212B6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4205C" w14:textId="77777777" w:rsidR="0057249E" w:rsidRDefault="0057249E">
      <w:pPr>
        <w:spacing w:after="0" w:line="240" w:lineRule="auto"/>
      </w:pPr>
      <w:r>
        <w:separator/>
      </w:r>
    </w:p>
  </w:endnote>
  <w:endnote w:type="continuationSeparator" w:id="0">
    <w:p w14:paraId="4DB60CBB" w14:textId="77777777" w:rsidR="0057249E" w:rsidRDefault="0057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B677" w14:textId="77777777" w:rsidR="0057249E" w:rsidRDefault="005724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9AF72" w14:textId="77777777" w:rsidR="0057249E" w:rsidRDefault="0057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42"/>
    <w:rsid w:val="00091EA8"/>
    <w:rsid w:val="001B1845"/>
    <w:rsid w:val="002746E2"/>
    <w:rsid w:val="002A3A42"/>
    <w:rsid w:val="004212B6"/>
    <w:rsid w:val="004917A6"/>
    <w:rsid w:val="004C0FB4"/>
    <w:rsid w:val="0055525C"/>
    <w:rsid w:val="0057249E"/>
    <w:rsid w:val="007214CA"/>
    <w:rsid w:val="00821C8E"/>
    <w:rsid w:val="00931B4B"/>
    <w:rsid w:val="009A2B06"/>
    <w:rsid w:val="00B71C28"/>
    <w:rsid w:val="00C307CF"/>
    <w:rsid w:val="00E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3782"/>
  <w15:docId w15:val="{AB7C2700-545C-4036-A0C5-075D7160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t-EE" w:eastAsia="et-EE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">
    <w:name w:val="Überschrift 1"/>
    <w:basedOn w:val="Standard"/>
    <w:next w:val="Standar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berschrift2">
    <w:name w:val="Überschrift 2"/>
    <w:basedOn w:val="Standard"/>
    <w:next w:val="Standard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berschrift3">
    <w:name w:val="Überschrift 3"/>
    <w:basedOn w:val="Standard"/>
    <w:next w:val="Standard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berschrift4">
    <w:name w:val="Überschrift 4"/>
    <w:basedOn w:val="Standard"/>
    <w:next w:val="Standard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berschrift5">
    <w:name w:val="Überschrift 5"/>
    <w:basedOn w:val="Standard"/>
    <w:next w:val="Standard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berschrift6">
    <w:name w:val="Überschrift 6"/>
    <w:basedOn w:val="Standard"/>
    <w:next w:val="Standar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berschrift7">
    <w:name w:val="Überschrift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berschrift8">
    <w:name w:val="Überschrift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berschrift9">
    <w:name w:val="Überschrift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customStyle="1" w:styleId="Titel">
    <w:name w:val="Titel"/>
    <w:basedOn w:val="Standard"/>
    <w:next w:val="Standard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customStyle="1" w:styleId="Untertitel">
    <w:name w:val="Untertitel"/>
    <w:basedOn w:val="Standard"/>
    <w:next w:val="Standard"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Zitat">
    <w:name w:val="Zitat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customStyle="1" w:styleId="Listenabsatz">
    <w:name w:val="Listenabsatz"/>
    <w:basedOn w:val="Standard"/>
    <w:pPr>
      <w:ind w:left="720"/>
    </w:pPr>
  </w:style>
  <w:style w:type="character" w:customStyle="1" w:styleId="IntensiveHervorhebung">
    <w:name w:val="Intensive Hervorhebung"/>
    <w:basedOn w:val="Absatz-Standardschriftart"/>
    <w:rPr>
      <w:i/>
      <w:iCs/>
      <w:color w:val="0F4761"/>
    </w:rPr>
  </w:style>
  <w:style w:type="paragraph" w:customStyle="1" w:styleId="IntensivesZitat">
    <w:name w:val="Intensives Zitat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customStyle="1" w:styleId="IntensiverVerweis">
    <w:name w:val="Intensiver Verweis"/>
    <w:basedOn w:val="Absatz-Standardschriftart"/>
    <w:rPr>
      <w:b/>
      <w:bCs/>
      <w:smallCaps/>
      <w:color w:val="0F4761"/>
      <w:spacing w:val="5"/>
    </w:rPr>
  </w:style>
  <w:style w:type="paragraph" w:customStyle="1" w:styleId="c-article-author-listitem">
    <w:name w:val="c-article-author-list__item"/>
    <w:basedOn w:val="Standard"/>
    <w:pPr>
      <w:spacing w:before="100" w:after="100" w:line="240" w:lineRule="auto"/>
    </w:pPr>
    <w:rPr>
      <w:rFonts w:ascii="Times New Roman" w:eastAsia="Times New Roman" w:hAnsi="Times New Roman"/>
      <w:kern w:val="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c-article-info-details">
    <w:name w:val="c-article-info-details"/>
    <w:basedOn w:val="Standard"/>
    <w:pPr>
      <w:spacing w:before="100" w:after="100" w:line="240" w:lineRule="auto"/>
    </w:pPr>
    <w:rPr>
      <w:rFonts w:ascii="Times New Roman" w:eastAsia="Times New Roman" w:hAnsi="Times New Roman"/>
      <w:kern w:val="0"/>
    </w:rPr>
  </w:style>
  <w:style w:type="character" w:customStyle="1" w:styleId="u-visually-hidden">
    <w:name w:val="u-visually-hidden"/>
    <w:basedOn w:val="Absatz-Standardschriftart"/>
  </w:style>
  <w:style w:type="paragraph" w:customStyle="1" w:styleId="list-inline-item">
    <w:name w:val="list-inline-item"/>
    <w:basedOn w:val="Standard"/>
    <w:pPr>
      <w:spacing w:before="100" w:after="100" w:line="240" w:lineRule="auto"/>
    </w:pPr>
    <w:rPr>
      <w:rFonts w:ascii="Times New Roman" w:eastAsia="Times New Roman" w:hAnsi="Times New Roman"/>
      <w:kern w:val="0"/>
    </w:rPr>
  </w:style>
  <w:style w:type="character" w:customStyle="1" w:styleId="news-articleherodate">
    <w:name w:val="news-article__hero__date"/>
    <w:basedOn w:val="Absatz-Standardschriftart"/>
  </w:style>
  <w:style w:type="character" w:customStyle="1" w:styleId="mr-1">
    <w:name w:val="mr-1"/>
    <w:basedOn w:val="Absatz-Standardschriftart"/>
  </w:style>
  <w:style w:type="paragraph" w:styleId="BalloonText">
    <w:name w:val="Balloon Text"/>
    <w:basedOn w:val="Normal"/>
    <w:link w:val="BalloonTextChar"/>
    <w:uiPriority w:val="99"/>
    <w:semiHidden/>
    <w:unhideWhenUsed/>
    <w:rsid w:val="00B7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1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7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17A6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ncom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467-018-07483-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4037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Jaak Aru</dc:creator>
  <cp:lastModifiedBy>Jaak Aru</cp:lastModifiedBy>
  <cp:revision>2</cp:revision>
  <dcterms:created xsi:type="dcterms:W3CDTF">2024-05-06T13:26:00Z</dcterms:created>
  <dcterms:modified xsi:type="dcterms:W3CDTF">2024-05-06T13:26:00Z</dcterms:modified>
</cp:coreProperties>
</file>